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or a written statement that equivalent controls are in place through other means, verified by a technically competent and independent third party which must be an Information Assurance for Small and Medium Enterprises (IASME) registered certification body  </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prior to the award of the </w:t>
      </w:r>
      <w:r w:rsidDel="00000000" w:rsidR="00000000" w:rsidRPr="00000000">
        <w:rPr>
          <w:rFonts w:ascii="Arial" w:cs="Arial" w:eastAsia="Arial" w:hAnsi="Arial"/>
          <w:sz w:val="24"/>
          <w:szCs w:val="24"/>
          <w:rtl w:val="0"/>
        </w:rPr>
        <w:t xml:space="preserve">Framework Contract </w:t>
      </w:r>
      <w:r w:rsidDel="00000000" w:rsidR="00000000" w:rsidRPr="00000000">
        <w:rPr>
          <w:rFonts w:ascii="Arial" w:cs="Arial" w:eastAsia="Arial" w:hAnsi="Arial"/>
          <w:color w:val="000000"/>
          <w:sz w:val="24"/>
          <w:szCs w:val="24"/>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2.5 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